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C84408" w:rsidP="00C84408" w:rsidRDefault="00C84408" w14:paraId="3D979DF8" w14:textId="5722BA19">
      <w:pPr>
        <w:pStyle w:val="Head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A4A37CE" wp14:editId="77CE4481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BA2DE9" w:rsidR="00C84408" w:rsidP="00C84408" w:rsidRDefault="00C84408" w14:paraId="44E4A4A2" w14:textId="128CC614">
      <w:pPr>
        <w:pStyle w:val="Header"/>
        <w:rPr>
          <w:rFonts w:ascii="Arial" w:hAnsi="Arial" w:cs="Arial"/>
          <w:b/>
          <w:bCs/>
        </w:rPr>
      </w:pPr>
      <w:r w:rsidRPr="00BA2DE9">
        <w:rPr>
          <w:rFonts w:ascii="Arial" w:hAnsi="Arial" w:cs="Arial"/>
          <w:b/>
          <w:bCs/>
          <w:sz w:val="28"/>
          <w:szCs w:val="28"/>
        </w:rPr>
        <w:t>Worksheet – Legislation in the science sector</w:t>
      </w:r>
    </w:p>
    <w:p w:rsidR="00A535CB" w:rsidRDefault="00A535CB" w14:paraId="206A8356" w14:textId="428152FB">
      <w:pPr>
        <w:rPr>
          <w:rFonts w:ascii="Arial" w:hAnsi="Arial" w:cs="Arial"/>
          <w:b/>
          <w:noProof/>
          <w:sz w:val="28"/>
          <w:lang w:eastAsia="en-GB"/>
        </w:rPr>
      </w:pPr>
    </w:p>
    <w:p w:rsidR="00A535CB" w:rsidRDefault="00A535CB" w14:paraId="7659443E" w14:textId="01678956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>Activity 1</w:t>
      </w:r>
    </w:p>
    <w:p w:rsidRPr="006A7EB5" w:rsidR="006A7EB5" w:rsidP="006A7EB5" w:rsidRDefault="006A7EB5" w14:paraId="7199743C" w14:textId="77777777">
      <w:pPr>
        <w:rPr>
          <w:rFonts w:ascii="Arial" w:hAnsi="Arial" w:cs="Arial"/>
          <w:noProof/>
          <w:sz w:val="24"/>
          <w:lang w:eastAsia="en-GB"/>
        </w:rPr>
      </w:pPr>
      <w:r w:rsidRPr="006A7EB5">
        <w:rPr>
          <w:rFonts w:ascii="Arial" w:hAnsi="Arial" w:cs="Arial"/>
          <w:noProof/>
          <w:sz w:val="24"/>
          <w:lang w:eastAsia="en-GB"/>
        </w:rPr>
        <w:t>The names of pieces of legislation and their descriptions have been mixed up in the table below.</w:t>
      </w:r>
    </w:p>
    <w:p w:rsidR="00AF7356" w:rsidRDefault="006A7EB5" w14:paraId="0B83808F" w14:textId="4A6B856C">
      <w:pPr>
        <w:rPr>
          <w:rFonts w:ascii="Arial" w:hAnsi="Arial" w:cs="Arial"/>
          <w:noProof/>
          <w:sz w:val="24"/>
          <w:lang w:eastAsia="en-GB"/>
        </w:rPr>
      </w:pPr>
      <w:r w:rsidRPr="006A7EB5">
        <w:rPr>
          <w:rFonts w:ascii="Arial" w:hAnsi="Arial" w:cs="Arial"/>
          <w:noProof/>
          <w:sz w:val="24"/>
          <w:lang w:eastAsia="en-GB"/>
        </w:rPr>
        <w:t>Match the correct title with the description of what the regulation covers.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AF7356" w:rsidTr="00AF7356" w14:paraId="7F13789D" w14:textId="77777777">
        <w:tc>
          <w:tcPr>
            <w:tcW w:w="4508" w:type="dxa"/>
          </w:tcPr>
          <w:p w:rsidRPr="008E3F3A" w:rsidR="00AF7356" w:rsidP="00AF7356" w:rsidRDefault="00AF7356" w14:paraId="1A63E87B" w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Legislation</w:t>
            </w:r>
          </w:p>
          <w:p w:rsidR="00AF7356" w:rsidP="00AF7356" w:rsidRDefault="00AF7356" w14:paraId="5067558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:rsidR="00AF7356" w:rsidP="00AF7356" w:rsidRDefault="00AF7356" w14:paraId="27499388" w14:textId="05DA827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AF7356" w:rsidTr="00AF7356" w14:paraId="7542F0FC" w14:textId="77777777">
        <w:tc>
          <w:tcPr>
            <w:tcW w:w="4508" w:type="dxa"/>
          </w:tcPr>
          <w:p w:rsidR="00AF7356" w:rsidP="00C4325B" w:rsidRDefault="00C4325B" w14:paraId="3BF9BF46" w14:textId="587E966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Display Screen Equipment Regulations (1992)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Pr="008E3F3A" w:rsidR="00AF7356" w:rsidP="00AF7356" w:rsidRDefault="00AF7356" w14:paraId="416730A4" w14:textId="19EA6338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Outlines the steps an employer must reasonably take to ensure </w:t>
            </w:r>
            <w:r w:rsidR="006A7EB5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8E3F3A">
              <w:rPr>
                <w:rFonts w:ascii="Arial" w:hAnsi="Arial" w:cs="Arial"/>
                <w:sz w:val="24"/>
                <w:szCs w:val="24"/>
              </w:rPr>
              <w:t>the health, safety and welfare of employees is maintained whil</w:t>
            </w:r>
            <w:r w:rsidR="006A7EB5">
              <w:rPr>
                <w:rFonts w:ascii="Arial" w:hAnsi="Arial" w:cs="Arial"/>
                <w:sz w:val="24"/>
                <w:szCs w:val="24"/>
              </w:rPr>
              <w:t>e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at their place of work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772BC3A2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1EF4AF2C" w14:textId="77777777">
        <w:tc>
          <w:tcPr>
            <w:tcW w:w="4508" w:type="dxa"/>
          </w:tcPr>
          <w:p w:rsidR="00AF7356" w:rsidP="00C4325B" w:rsidRDefault="00C4325B" w14:paraId="5A8B7275" w14:textId="279322EC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Waste Electrical and Electronic Equipment Regulations (WEEE) (2012)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Pr="008E3F3A" w:rsidR="00AF7356" w:rsidP="00AF7356" w:rsidRDefault="00AF7356" w14:paraId="5D8C0CB9" w14:textId="5410C374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Aim</w:t>
            </w:r>
            <w:r w:rsidR="006A7EB5">
              <w:rPr>
                <w:rFonts w:ascii="Arial" w:hAnsi="Arial" w:cs="Arial"/>
                <w:sz w:val="24"/>
                <w:szCs w:val="24"/>
              </w:rPr>
              <w:t xml:space="preserve">ed at reducing </w:t>
            </w:r>
            <w:r w:rsidRPr="008E3F3A">
              <w:rPr>
                <w:rFonts w:ascii="Arial" w:hAnsi="Arial" w:cs="Arial"/>
                <w:sz w:val="24"/>
                <w:szCs w:val="24"/>
              </w:rPr>
              <w:t>the number and severity of accidents in the workplace through assessment and management of risk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32B2D02A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782D3BED" w14:textId="77777777">
        <w:tc>
          <w:tcPr>
            <w:tcW w:w="4508" w:type="dxa"/>
          </w:tcPr>
          <w:p w:rsidR="00AF7356" w:rsidP="00C4325B" w:rsidRDefault="00C4325B" w14:paraId="4AC30E64" w14:textId="7206BBC9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Reporting of Injuries, Diseases and Dangerous Occurrences Regulations (RIDDOR) (2013)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Pr="008E3F3A" w:rsidR="00AF7356" w:rsidP="00AF7356" w:rsidRDefault="00AF7356" w14:paraId="4DF8E84B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Defines employer responsibilities to provide appropriate personal protective equipment to reduce harm to employees, visitors and clients.</w:t>
            </w:r>
          </w:p>
          <w:p w:rsidR="00AF7356" w:rsidP="00AF7356" w:rsidRDefault="00AF7356" w14:paraId="380BF3A9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6028901F" w14:textId="77777777">
        <w:tc>
          <w:tcPr>
            <w:tcW w:w="4508" w:type="dxa"/>
          </w:tcPr>
          <w:p w:rsidR="00AF7356" w:rsidP="00AF7356" w:rsidRDefault="00C4325B" w14:paraId="432316B4" w14:textId="0F06A9F5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Regulatory Reform (Fire S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E3F3A">
              <w:rPr>
                <w:rFonts w:ascii="Arial" w:hAnsi="Arial" w:cs="Arial"/>
                <w:sz w:val="24"/>
                <w:szCs w:val="24"/>
              </w:rPr>
              <w:t>fety) Order (RRO) (2005)</w:t>
            </w:r>
          </w:p>
        </w:tc>
        <w:tc>
          <w:tcPr>
            <w:tcW w:w="4508" w:type="dxa"/>
          </w:tcPr>
          <w:p w:rsidRPr="008E3F3A" w:rsidR="00AF7356" w:rsidP="00AF7356" w:rsidRDefault="00AF7356" w14:paraId="1ACDF6B5" w14:textId="67F67498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The regulations require employers to prevent or reduce the exposure of employees to substances which are hazardous to health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56B33386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C4325B" w:rsidP="00AF7356" w:rsidRDefault="00C4325B" w14:paraId="342AC4B8" w14:textId="794B3EC0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5418E5EA" w14:textId="77777777">
        <w:tc>
          <w:tcPr>
            <w:tcW w:w="4508" w:type="dxa"/>
          </w:tcPr>
          <w:p w:rsidR="00AF7356" w:rsidP="00C4325B" w:rsidRDefault="00C4325B" w14:paraId="3A014F75" w14:textId="6E519CBE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Personal Protective Equipment (Enforcement) Regulations (2018)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Pr="008E3F3A" w:rsidR="00AF7356" w:rsidP="00AF7356" w:rsidRDefault="00AF7356" w14:paraId="0A5266A5" w14:textId="40544633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Employers are legally obliged to assess and minimise the risk to employee health involved in the manual handling, moving and positioning of objects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8E3F3A" w:rsidR="00AF7356" w:rsidP="00AF7356" w:rsidRDefault="00AF7356" w14:paraId="16389113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  <w:p w:rsidR="00AF7356" w:rsidP="00AF7356" w:rsidRDefault="00AF7356" w14:paraId="5F5217E4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0EFCB2C6" w14:textId="77777777">
        <w:tc>
          <w:tcPr>
            <w:tcW w:w="4508" w:type="dxa"/>
          </w:tcPr>
          <w:p w:rsidR="00AF7356" w:rsidP="00AF7356" w:rsidRDefault="00C4325B" w14:paraId="110B5741" w14:textId="4FF15B5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Health and Safety at Work Act (1974)</w:t>
            </w:r>
          </w:p>
        </w:tc>
        <w:tc>
          <w:tcPr>
            <w:tcW w:w="4508" w:type="dxa"/>
          </w:tcPr>
          <w:p w:rsidRPr="008E3F3A" w:rsidR="00AF7356" w:rsidP="00AF7356" w:rsidRDefault="00AF7356" w14:paraId="249DFD4A" w14:textId="6C3D3410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Places a requirement on employers to ensure protection for workers from the health risk</w:t>
            </w:r>
            <w:r w:rsidR="006A7EB5">
              <w:rPr>
                <w:rFonts w:ascii="Arial" w:hAnsi="Arial" w:cs="Arial"/>
                <w:sz w:val="24"/>
                <w:szCs w:val="24"/>
              </w:rPr>
              <w:t>s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associated with using display screen equipment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7B1F0D49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35C0EF28" w14:textId="77777777">
        <w:tc>
          <w:tcPr>
            <w:tcW w:w="4508" w:type="dxa"/>
          </w:tcPr>
          <w:p w:rsidR="00AF7356" w:rsidP="00AF7356" w:rsidRDefault="00C4325B" w14:paraId="49B1A455" w14:textId="09C02278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lastRenderedPageBreak/>
              <w:t>Hazardous Waste Regulations (2005)</w:t>
            </w:r>
          </w:p>
        </w:tc>
        <w:tc>
          <w:tcPr>
            <w:tcW w:w="4508" w:type="dxa"/>
          </w:tcPr>
          <w:p w:rsidR="00AF7356" w:rsidP="00AF7356" w:rsidRDefault="00AF7356" w14:paraId="1546A524" w14:textId="55D61D9F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Reduce the amount of electronic and electrical equipment incinerated or sent to landfill. Businesses should store and correctly transport electrical waste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3EFA331C" w14:textId="03ACBFCC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75977381" w14:textId="77777777">
        <w:tc>
          <w:tcPr>
            <w:tcW w:w="4508" w:type="dxa"/>
          </w:tcPr>
          <w:p w:rsidR="00C4325B" w:rsidP="00AF7356" w:rsidRDefault="00C4325B" w14:paraId="07F9AAE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Special Waste Regulation (1996)</w:t>
            </w:r>
          </w:p>
          <w:p w:rsidR="00AF7356" w:rsidP="00AF7356" w:rsidRDefault="00AF7356" w14:paraId="2FE04319" w14:textId="6CDD00A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:rsidR="00AF7356" w:rsidP="00AF7356" w:rsidRDefault="00AF7356" w14:paraId="0F1C71A6" w14:textId="4F6C203A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Defines employer duties to report serious workplace accidents, occupational diseases and specified dangerous occurrences </w:t>
            </w:r>
            <w:r w:rsidRPr="008E3F3A" w:rsidR="006A7EB5">
              <w:rPr>
                <w:rFonts w:ascii="Arial" w:hAnsi="Arial" w:cs="Arial"/>
                <w:sz w:val="24"/>
                <w:szCs w:val="24"/>
              </w:rPr>
              <w:t>(</w:t>
            </w:r>
            <w:r w:rsidR="006A7EB5">
              <w:rPr>
                <w:rFonts w:ascii="Arial" w:hAnsi="Arial" w:cs="Arial"/>
                <w:sz w:val="24"/>
                <w:szCs w:val="24"/>
              </w:rPr>
              <w:t>“</w:t>
            </w:r>
            <w:r w:rsidRPr="008E3F3A">
              <w:rPr>
                <w:rFonts w:ascii="Arial" w:hAnsi="Arial" w:cs="Arial"/>
                <w:sz w:val="24"/>
                <w:szCs w:val="24"/>
              </w:rPr>
              <w:t>near misses</w:t>
            </w:r>
            <w:r w:rsidR="006A7EB5">
              <w:rPr>
                <w:rFonts w:ascii="Arial" w:hAnsi="Arial" w:cs="Arial"/>
                <w:sz w:val="24"/>
                <w:szCs w:val="24"/>
              </w:rPr>
              <w:t>”</w:t>
            </w:r>
            <w:r w:rsidRPr="008E3F3A">
              <w:rPr>
                <w:rFonts w:ascii="Arial" w:hAnsi="Arial" w:cs="Arial"/>
                <w:sz w:val="24"/>
                <w:szCs w:val="24"/>
              </w:rPr>
              <w:t>)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497AE7E7" w14:textId="13466850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4C20E7A8" w14:textId="77777777">
        <w:tc>
          <w:tcPr>
            <w:tcW w:w="4508" w:type="dxa"/>
          </w:tcPr>
          <w:p w:rsidR="00AF7356" w:rsidP="00C4325B" w:rsidRDefault="00C4325B" w14:paraId="5021E6DE" w14:textId="53A4A02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Environmental Protection Act (1990) </w:t>
            </w:r>
          </w:p>
        </w:tc>
        <w:tc>
          <w:tcPr>
            <w:tcW w:w="4508" w:type="dxa"/>
          </w:tcPr>
          <w:p w:rsidR="00AF7356" w:rsidP="00AF7356" w:rsidRDefault="00AF7356" w14:paraId="37D50549" w14:textId="021D2F2F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To reduce death, damage and injury caused by fire by placing legal responsibilities on employers for fire</w:t>
            </w:r>
            <w:r w:rsidR="006A7EB5">
              <w:rPr>
                <w:rFonts w:ascii="Arial" w:hAnsi="Arial" w:cs="Arial"/>
                <w:sz w:val="24"/>
                <w:szCs w:val="24"/>
              </w:rPr>
              <w:t>-</w:t>
            </w:r>
            <w:r w:rsidRPr="008E3F3A">
              <w:rPr>
                <w:rFonts w:ascii="Arial" w:hAnsi="Arial" w:cs="Arial"/>
                <w:sz w:val="24"/>
                <w:szCs w:val="24"/>
              </w:rPr>
              <w:t>risk assessment. All organisations are required to have procedures for evacuation in the event of a fire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3FA2C584" w14:textId="5140A3B4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0C733E97" w14:textId="77777777">
        <w:tc>
          <w:tcPr>
            <w:tcW w:w="4508" w:type="dxa"/>
          </w:tcPr>
          <w:p w:rsidR="00AF7356" w:rsidP="00AF7356" w:rsidRDefault="00C4325B" w14:paraId="68076B7F" w14:textId="23252E6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Manual Handling Operations Regulations (1992)</w:t>
            </w:r>
          </w:p>
        </w:tc>
        <w:tc>
          <w:tcPr>
            <w:tcW w:w="4508" w:type="dxa"/>
          </w:tcPr>
          <w:p w:rsidR="00AF7356" w:rsidP="00AF7356" w:rsidRDefault="00AF7356" w14:paraId="4F84D76A" w14:textId="0DD32B4F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Regulation and control of transit, import and export of waste and the prevention, reduction and elimination of pollution caused by waste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7FB3E5C3" w14:textId="023893A5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2AC8A63A" w14:textId="77777777">
        <w:tc>
          <w:tcPr>
            <w:tcW w:w="4508" w:type="dxa"/>
          </w:tcPr>
          <w:p w:rsidR="00AF7356" w:rsidP="00C4325B" w:rsidRDefault="00C4325B" w14:paraId="2D02BB8E" w14:textId="20EE96C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Control of Substances Hazardous to Health (COSHH) (2002) </w:t>
            </w:r>
          </w:p>
        </w:tc>
        <w:tc>
          <w:tcPr>
            <w:tcW w:w="4508" w:type="dxa"/>
          </w:tcPr>
          <w:p w:rsidR="00AF7356" w:rsidP="00AF7356" w:rsidRDefault="00AF7356" w14:paraId="23C7F684" w14:textId="1A7117F5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Provides for the improved control of pollution to the air, water and land by regulating the management of waste and the control of emissions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5CE203E9" w14:textId="3648D960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AF7356" w14:paraId="5D8C1EAB" w14:textId="77777777">
        <w:tc>
          <w:tcPr>
            <w:tcW w:w="4508" w:type="dxa"/>
          </w:tcPr>
          <w:p w:rsidR="00AF7356" w:rsidP="00AF7356" w:rsidRDefault="00C4325B" w14:paraId="1BD7D7B8" w14:textId="6AF6A35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Management of the Health and Safety at Work Regulations (1999)</w:t>
            </w:r>
          </w:p>
        </w:tc>
        <w:tc>
          <w:tcPr>
            <w:tcW w:w="4508" w:type="dxa"/>
          </w:tcPr>
          <w:p w:rsidR="00AF7356" w:rsidP="00AF7356" w:rsidRDefault="00AF7356" w14:paraId="0FAF6A40" w14:textId="6337462C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Controls the storage, transport and disposal of hazardous waste to ensure it is appropriately managed and </w:t>
            </w:r>
            <w:r w:rsidR="006A7EB5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8E3F3A">
              <w:rPr>
                <w:rFonts w:ascii="Arial" w:hAnsi="Arial" w:cs="Arial"/>
                <w:sz w:val="24"/>
                <w:szCs w:val="24"/>
              </w:rPr>
              <w:t>risks are minimised</w:t>
            </w:r>
            <w:r w:rsidR="006A7E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F7356" w:rsidP="00AF7356" w:rsidRDefault="00AF7356" w14:paraId="427B63DE" w14:textId="4948FA19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</w:tbl>
    <w:p w:rsidR="00AF7356" w:rsidRDefault="00AF7356" w14:paraId="43097743" w14:textId="77777777">
      <w:pPr>
        <w:rPr>
          <w:rFonts w:ascii="Arial" w:hAnsi="Arial" w:cs="Arial"/>
          <w:noProof/>
          <w:sz w:val="24"/>
          <w:lang w:eastAsia="en-GB"/>
        </w:rPr>
      </w:pPr>
    </w:p>
    <w:p w:rsidRPr="00A535CB" w:rsidR="00AF7356" w:rsidRDefault="00AF7356" w14:paraId="5B7FC467" w14:textId="77777777">
      <w:pPr>
        <w:rPr>
          <w:rFonts w:ascii="Arial" w:hAnsi="Arial" w:cs="Arial"/>
          <w:noProof/>
          <w:sz w:val="24"/>
          <w:lang w:eastAsia="en-GB"/>
        </w:rPr>
      </w:pPr>
    </w:p>
    <w:p w:rsidR="004F37D1" w:rsidRDefault="004F37D1" w14:paraId="6325BE3E" w14:textId="31DDAE0A">
      <w:pPr>
        <w:rPr>
          <w:rFonts w:ascii="Arial" w:hAnsi="Arial" w:cs="Arial"/>
          <w:b/>
          <w:noProof/>
          <w:sz w:val="28"/>
          <w:lang w:eastAsia="en-GB"/>
        </w:rPr>
      </w:pPr>
    </w:p>
    <w:p w:rsidR="004F37D1" w:rsidRDefault="004F37D1" w14:paraId="3A004BA2" w14:textId="330BA1D5">
      <w:pPr>
        <w:rPr>
          <w:rFonts w:ascii="Arial" w:hAnsi="Arial" w:cs="Arial"/>
          <w:b/>
          <w:sz w:val="28"/>
        </w:rPr>
      </w:pPr>
    </w:p>
    <w:p w:rsidR="00A535CB" w:rsidRDefault="00A535CB" w14:paraId="1D90DC51" w14:textId="77777777">
      <w:pPr>
        <w:rPr>
          <w:rFonts w:ascii="Arial" w:hAnsi="Arial" w:cs="Arial"/>
          <w:b/>
          <w:sz w:val="28"/>
        </w:rPr>
      </w:pPr>
    </w:p>
    <w:p w:rsidR="004F37D1" w:rsidRDefault="004F37D1" w14:paraId="1848D173" w14:textId="3F26F9EE">
      <w:pPr>
        <w:rPr>
          <w:rFonts w:ascii="Arial" w:hAnsi="Arial" w:cs="Arial"/>
          <w:b/>
          <w:sz w:val="28"/>
        </w:rPr>
      </w:pPr>
    </w:p>
    <w:p w:rsidR="00C84408" w:rsidRDefault="00C84408" w14:paraId="554EFD0C" w14:textId="524E8A2D">
      <w:pPr>
        <w:rPr>
          <w:rFonts w:ascii="Arial" w:hAnsi="Arial" w:cs="Arial"/>
          <w:b/>
          <w:sz w:val="28"/>
        </w:rPr>
      </w:pPr>
    </w:p>
    <w:p w:rsidR="00C84408" w:rsidRDefault="00C84408" w14:paraId="2A17D1DE" w14:textId="6EDAEC3D">
      <w:pPr>
        <w:rPr>
          <w:rFonts w:ascii="Arial" w:hAnsi="Arial" w:cs="Arial"/>
          <w:b/>
          <w:sz w:val="28"/>
        </w:rPr>
      </w:pPr>
    </w:p>
    <w:p w:rsidR="00C84408" w:rsidRDefault="00C84408" w14:paraId="5FA5E202" w14:textId="79DC5EAF">
      <w:pPr>
        <w:rPr>
          <w:rFonts w:ascii="Arial" w:hAnsi="Arial" w:cs="Arial"/>
          <w:b/>
          <w:sz w:val="28"/>
        </w:rPr>
      </w:pPr>
    </w:p>
    <w:p w:rsidRPr="00C84408" w:rsidR="00C84408" w:rsidP="79B4989A" w:rsidRDefault="00C84408" w14:paraId="51D147B5" w14:textId="77CA529F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="00C84408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 </w:t>
      </w:r>
      <w:r w:rsidR="00C84408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sectPr w:rsidRPr="00C84408" w:rsidR="00C84408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563E" w:rsidP="004F37D1" w:rsidRDefault="005C563E" w14:paraId="57314D65" w14:textId="77777777">
      <w:pPr>
        <w:spacing w:after="0" w:line="240" w:lineRule="auto"/>
      </w:pPr>
      <w:r>
        <w:separator/>
      </w:r>
    </w:p>
  </w:endnote>
  <w:endnote w:type="continuationSeparator" w:id="0">
    <w:p w:rsidR="005C563E" w:rsidP="004F37D1" w:rsidRDefault="005C563E" w14:paraId="6E1F0796" w14:textId="77777777">
      <w:pPr>
        <w:spacing w:after="0" w:line="240" w:lineRule="auto"/>
      </w:pPr>
      <w:r>
        <w:continuationSeparator/>
      </w:r>
    </w:p>
  </w:endnote>
  <w:endnote w:type="continuationNotice" w:id="1">
    <w:p w:rsidR="005C563E" w:rsidRDefault="005C563E" w14:paraId="52E20D1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563E" w:rsidP="004F37D1" w:rsidRDefault="005C563E" w14:paraId="43D35908" w14:textId="77777777">
      <w:pPr>
        <w:spacing w:after="0" w:line="240" w:lineRule="auto"/>
      </w:pPr>
      <w:r>
        <w:separator/>
      </w:r>
    </w:p>
  </w:footnote>
  <w:footnote w:type="continuationSeparator" w:id="0">
    <w:p w:rsidR="005C563E" w:rsidP="004F37D1" w:rsidRDefault="005C563E" w14:paraId="382171FF" w14:textId="77777777">
      <w:pPr>
        <w:spacing w:after="0" w:line="240" w:lineRule="auto"/>
      </w:pPr>
      <w:r>
        <w:continuationSeparator/>
      </w:r>
    </w:p>
  </w:footnote>
  <w:footnote w:type="continuationNotice" w:id="1">
    <w:p w:rsidR="005C563E" w:rsidRDefault="005C563E" w14:paraId="20E0585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35CB" w:rsidRDefault="00BA2DE9" w14:paraId="6BBF5BC8" w14:textId="39EDD183">
    <w:pPr>
      <w:pStyle w:val="Header"/>
    </w:pPr>
    <w:r>
      <w:ptab w:alignment="right" w:relativeTo="margin" w:leader="none"/>
    </w:r>
  </w:p>
  <w:p w:rsidR="00A535CB" w:rsidRDefault="00A535CB" w14:paraId="2731013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58783563">
    <w:abstractNumId w:val="1"/>
  </w:num>
  <w:num w:numId="2" w16cid:durableId="16858874">
    <w:abstractNumId w:val="3"/>
  </w:num>
  <w:num w:numId="3" w16cid:durableId="737173798">
    <w:abstractNumId w:val="2"/>
  </w:num>
  <w:num w:numId="4" w16cid:durableId="920020246">
    <w:abstractNumId w:val="0"/>
  </w:num>
  <w:num w:numId="5" w16cid:durableId="910889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1A1353"/>
    <w:rsid w:val="002B13B3"/>
    <w:rsid w:val="002E49EC"/>
    <w:rsid w:val="00322309"/>
    <w:rsid w:val="00417DFA"/>
    <w:rsid w:val="004C0AC5"/>
    <w:rsid w:val="004F37D1"/>
    <w:rsid w:val="005C563E"/>
    <w:rsid w:val="005E025C"/>
    <w:rsid w:val="005E7DC1"/>
    <w:rsid w:val="00696FC2"/>
    <w:rsid w:val="006A4EF0"/>
    <w:rsid w:val="006A7EB5"/>
    <w:rsid w:val="008A7EDF"/>
    <w:rsid w:val="008B3589"/>
    <w:rsid w:val="00A535CB"/>
    <w:rsid w:val="00AF7356"/>
    <w:rsid w:val="00BA2DE9"/>
    <w:rsid w:val="00BE40AA"/>
    <w:rsid w:val="00C4325B"/>
    <w:rsid w:val="00C83F19"/>
    <w:rsid w:val="00C84408"/>
    <w:rsid w:val="00D40B8E"/>
    <w:rsid w:val="00D75055"/>
    <w:rsid w:val="00E032EE"/>
    <w:rsid w:val="00E500F1"/>
    <w:rsid w:val="00E95154"/>
    <w:rsid w:val="00EB3A97"/>
    <w:rsid w:val="00EB61B8"/>
    <w:rsid w:val="00ED7B73"/>
    <w:rsid w:val="00EF7A65"/>
    <w:rsid w:val="00F40783"/>
    <w:rsid w:val="00F457C1"/>
    <w:rsid w:val="00FA173C"/>
    <w:rsid w:val="00FD5F17"/>
    <w:rsid w:val="00FF0637"/>
    <w:rsid w:val="79B49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1A89D366-AD44-48AE-B74A-FA4953E5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table" w:styleId="TableGrid">
    <w:name w:val="Table Grid"/>
    <w:basedOn w:val="TableNormal"/>
    <w:uiPriority w:val="39"/>
    <w:rsid w:val="00A535C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2E49EC"/>
    <w:pPr>
      <w:spacing w:after="0" w:line="240" w:lineRule="auto"/>
    </w:pPr>
  </w:style>
  <w:style w:type="paragraph" w:styleId="paragraph" w:customStyle="1">
    <w:name w:val="paragraph"/>
    <w:basedOn w:val="Normal"/>
    <w:rsid w:val="00C8440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eop" w:customStyle="1">
    <w:name w:val="eop"/>
    <w:basedOn w:val="DefaultParagraphFont"/>
    <w:rsid w:val="00C84408"/>
  </w:style>
  <w:style w:type="character" w:styleId="normaltextrun" w:customStyle="1">
    <w:name w:val="normaltextrun"/>
    <w:basedOn w:val="DefaultParagraphFont"/>
    <w:rsid w:val="00C84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8E0F9-295B-4474-A2C3-5D354CF61A00}"/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Preston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3</cp:revision>
  <dcterms:created xsi:type="dcterms:W3CDTF">2022-10-05T14:22:00Z</dcterms:created>
  <dcterms:modified xsi:type="dcterms:W3CDTF">2022-10-07T15:57:10Z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